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77238" w14:textId="10BCC29D" w:rsidR="00BD17E0" w:rsidRPr="00BD17E0" w:rsidRDefault="00195DC3" w:rsidP="00195DC3">
      <w:pPr>
        <w:jc w:val="center"/>
      </w:pPr>
      <w:r>
        <w:rPr>
          <w:b/>
          <w:bCs/>
        </w:rPr>
        <w:t xml:space="preserve">Molecular </w:t>
      </w:r>
      <w:r w:rsidR="00BD17E0" w:rsidRPr="00BD17E0">
        <w:rPr>
          <w:b/>
          <w:bCs/>
        </w:rPr>
        <w:t>Characterization of Breast Invasive Lobular Carcinoma Metastasis to the Ovaries</w:t>
      </w:r>
    </w:p>
    <w:p w14:paraId="4B9EE2A7" w14:textId="77777777" w:rsidR="00A54349" w:rsidRDefault="00A54349" w:rsidP="006D38AF">
      <w:pPr>
        <w:rPr>
          <w:b/>
          <w:bCs/>
        </w:rPr>
      </w:pPr>
    </w:p>
    <w:p w14:paraId="58310027" w14:textId="7604612B" w:rsidR="001A6AF3" w:rsidRPr="004E46BA" w:rsidRDefault="00121458" w:rsidP="006D38AF">
      <w:bookmarkStart w:id="0" w:name="_GoBack"/>
      <w:bookmarkEnd w:id="0"/>
      <w:r w:rsidRPr="004E46BA">
        <w:rPr>
          <w:b/>
          <w:bCs/>
        </w:rPr>
        <w:t>Background:</w:t>
      </w:r>
      <w:r w:rsidR="00214486">
        <w:rPr>
          <w:b/>
          <w:bCs/>
        </w:rPr>
        <w:t xml:space="preserve"> </w:t>
      </w:r>
      <w:r w:rsidR="001A6AF3" w:rsidRPr="004E46BA">
        <w:t>Invasive lobular carcinoma (ILC) accounts for 5-15% of newly diagnosed breast cancers in US annually</w:t>
      </w:r>
      <w:r w:rsidR="00564DDC" w:rsidRPr="004E46BA">
        <w:t xml:space="preserve">. </w:t>
      </w:r>
      <w:r w:rsidR="004E46BA">
        <w:t>ILC is</w:t>
      </w:r>
      <w:r w:rsidR="006D38AF">
        <w:t xml:space="preserve"> characterized by small and</w:t>
      </w:r>
      <w:r w:rsidR="001A6AF3" w:rsidRPr="004E46BA">
        <w:t xml:space="preserve"> regular uniform</w:t>
      </w:r>
      <w:r w:rsidR="00564DDC" w:rsidRPr="004E46BA">
        <w:t xml:space="preserve"> cells with single-</w:t>
      </w:r>
      <w:r w:rsidR="001A6AF3" w:rsidRPr="004E46BA">
        <w:t xml:space="preserve">file pattern of </w:t>
      </w:r>
      <w:r w:rsidR="00904FC7">
        <w:t xml:space="preserve">invasion. </w:t>
      </w:r>
      <w:r w:rsidR="00564DDC" w:rsidRPr="004E46BA">
        <w:t>These tumors are often estrogen-receptor (ER) and progesterone-</w:t>
      </w:r>
      <w:r w:rsidR="001A6AF3" w:rsidRPr="004E46BA">
        <w:t>receptor (PR) positive, but mostly HER2 negative with less proliferati</w:t>
      </w:r>
      <w:r w:rsidR="003E08CF" w:rsidRPr="004E46BA">
        <w:t>ve pattern than invasive ductal</w:t>
      </w:r>
      <w:r w:rsidR="001A6AF3" w:rsidRPr="004E46BA">
        <w:t xml:space="preserve"> carcinoma (IDC). Both </w:t>
      </w:r>
      <w:r w:rsidR="006D38AF">
        <w:t>subtypes</w:t>
      </w:r>
      <w:r w:rsidR="001A6AF3" w:rsidRPr="004E46BA">
        <w:t xml:space="preserve"> can metastasize to </w:t>
      </w:r>
      <w:r w:rsidR="001256F7" w:rsidRPr="004E46BA">
        <w:t>similar sites</w:t>
      </w:r>
      <w:r w:rsidR="001A6AF3" w:rsidRPr="004E46BA">
        <w:t>, however, ILC tend to have a different patter</w:t>
      </w:r>
      <w:r w:rsidR="00BA7BC9" w:rsidRPr="004E46BA">
        <w:t>n of metastasis compared to IDC</w:t>
      </w:r>
      <w:r w:rsidR="001A6AF3" w:rsidRPr="004E46BA">
        <w:t xml:space="preserve"> by in</w:t>
      </w:r>
      <w:r w:rsidR="007C4474" w:rsidRPr="004E46BA">
        <w:t>filtrating the peritoneum, ovaries,</w:t>
      </w:r>
      <w:r w:rsidR="001A6AF3" w:rsidRPr="004E46BA">
        <w:t xml:space="preserve"> and gastrointestinal system. Data from both metastases and general registries of </w:t>
      </w:r>
      <w:r w:rsidR="00BA7BC9" w:rsidRPr="004E46BA">
        <w:t>MWH</w:t>
      </w:r>
      <w:r w:rsidR="007C4474" w:rsidRPr="004E46BA">
        <w:t xml:space="preserve"> </w:t>
      </w:r>
      <w:r w:rsidR="001A6AF3" w:rsidRPr="004E46BA">
        <w:t xml:space="preserve">has shown significant metastasis of ILC to </w:t>
      </w:r>
      <w:r w:rsidR="00253632" w:rsidRPr="004E46BA">
        <w:t xml:space="preserve">the </w:t>
      </w:r>
      <w:r w:rsidR="001A6AF3" w:rsidRPr="004E46BA">
        <w:t>ovaries when compared to IDC.</w:t>
      </w:r>
      <w:r w:rsidR="00194201" w:rsidRPr="004E46BA">
        <w:t xml:space="preserve"> </w:t>
      </w:r>
      <w:r w:rsidR="001A6AF3" w:rsidRPr="004E46BA">
        <w:t>Other than altered expression of E-cadherin, not much is known about molecular pathways involved in unique ILC metastasis.</w:t>
      </w:r>
    </w:p>
    <w:p w14:paraId="6ADFC94F" w14:textId="2110AD8D" w:rsidR="00253632" w:rsidRPr="004E46BA" w:rsidRDefault="00801B27" w:rsidP="006D38AF">
      <w:pPr>
        <w:autoSpaceDE w:val="0"/>
        <w:autoSpaceDN w:val="0"/>
        <w:adjustRightInd w:val="0"/>
        <w:spacing w:after="0" w:line="240" w:lineRule="auto"/>
        <w:rPr>
          <w:rFonts w:cs="ArialMT"/>
          <w:color w:val="000000" w:themeColor="text1"/>
        </w:rPr>
      </w:pPr>
      <w:r w:rsidRPr="004E46BA">
        <w:rPr>
          <w:b/>
          <w:bCs/>
        </w:rPr>
        <w:t>Hypothesis:</w:t>
      </w:r>
      <w:r w:rsidR="00214486">
        <w:rPr>
          <w:b/>
          <w:bCs/>
        </w:rPr>
        <w:t xml:space="preserve"> </w:t>
      </w:r>
      <w:r w:rsidR="006D38AF">
        <w:rPr>
          <w:rFonts w:cs="ArialMT"/>
          <w:color w:val="000000" w:themeColor="text1"/>
        </w:rPr>
        <w:t>The</w:t>
      </w:r>
      <w:r w:rsidR="00253632" w:rsidRPr="004E46BA">
        <w:rPr>
          <w:rFonts w:cs="ArialMT"/>
          <w:color w:val="000000" w:themeColor="text1"/>
        </w:rPr>
        <w:t xml:space="preserve"> unique biology of ILC drives progression and metastasis that are specific to the ILC subtype. Our goal is to investigate the etiology and unique biology of ILC, with the eventual goal of developing targeted therapeutics.</w:t>
      </w:r>
    </w:p>
    <w:p w14:paraId="263AC02E" w14:textId="77777777" w:rsidR="00253632" w:rsidRPr="004E46BA" w:rsidRDefault="00253632" w:rsidP="00253632">
      <w:pPr>
        <w:autoSpaceDE w:val="0"/>
        <w:autoSpaceDN w:val="0"/>
        <w:adjustRightInd w:val="0"/>
        <w:spacing w:after="0" w:line="240" w:lineRule="auto"/>
        <w:rPr>
          <w:rFonts w:cs="ArialMT"/>
          <w:color w:val="000000" w:themeColor="text1"/>
        </w:rPr>
      </w:pPr>
    </w:p>
    <w:p w14:paraId="36EB6E84" w14:textId="508A4E1D" w:rsidR="008F54C2" w:rsidRPr="004E46BA" w:rsidRDefault="008F54C2" w:rsidP="004E46BA">
      <w:pPr>
        <w:rPr>
          <w:rFonts w:eastAsia="Times New Roman" w:cs="Times New Roman"/>
        </w:rPr>
      </w:pPr>
      <w:r w:rsidRPr="004E46BA">
        <w:rPr>
          <w:b/>
          <w:bCs/>
        </w:rPr>
        <w:t>Methods:</w:t>
      </w:r>
      <w:r w:rsidR="00253632" w:rsidRPr="004E46BA">
        <w:t xml:space="preserve"> </w:t>
      </w:r>
      <w:r w:rsidR="00B424F4" w:rsidRPr="004E46BA">
        <w:rPr>
          <w:rFonts w:eastAsia="Times New Roman" w:cs="Arial"/>
          <w:color w:val="000000"/>
          <w:shd w:val="clear" w:color="auto" w:fill="FFFFFF"/>
        </w:rPr>
        <w:t>We performed gene expression analysis</w:t>
      </w:r>
      <w:r w:rsidR="00253632" w:rsidRPr="004E46BA">
        <w:rPr>
          <w:rFonts w:eastAsia="Times New Roman" w:cs="Times New Roman"/>
        </w:rPr>
        <w:t xml:space="preserve"> between</w:t>
      </w:r>
      <w:r w:rsidR="00253632" w:rsidRPr="004E46BA">
        <w:t xml:space="preserve"> </w:t>
      </w:r>
      <w:r w:rsidR="006D38AF">
        <w:t xml:space="preserve">FFPE samples from </w:t>
      </w:r>
      <w:r w:rsidR="00253632" w:rsidRPr="004E46BA">
        <w:rPr>
          <w:rFonts w:cstheme="majorBidi"/>
          <w:color w:val="000000" w:themeColor="text1"/>
        </w:rPr>
        <w:t>19</w:t>
      </w:r>
      <w:r w:rsidR="00977908" w:rsidRPr="004E46BA">
        <w:rPr>
          <w:rFonts w:cstheme="majorBidi"/>
          <w:color w:val="000000" w:themeColor="text1"/>
        </w:rPr>
        <w:t xml:space="preserve"> ovarian metastases </w:t>
      </w:r>
      <w:r w:rsidR="00253632" w:rsidRPr="004E46BA">
        <w:rPr>
          <w:rFonts w:cstheme="majorBidi"/>
          <w:color w:val="000000" w:themeColor="text1"/>
        </w:rPr>
        <w:t>(10 ILC, 5 IDC, and 4 mixed)</w:t>
      </w:r>
      <w:r w:rsidR="00B424F4" w:rsidRPr="004E46BA">
        <w:rPr>
          <w:rFonts w:cstheme="majorBidi"/>
          <w:color w:val="000000" w:themeColor="text1"/>
        </w:rPr>
        <w:t xml:space="preserve"> </w:t>
      </w:r>
      <w:r w:rsidR="00977908" w:rsidRPr="004E46BA">
        <w:rPr>
          <w:rFonts w:cstheme="majorBidi"/>
          <w:color w:val="000000" w:themeColor="text1"/>
        </w:rPr>
        <w:t xml:space="preserve">and 7 matched primaries </w:t>
      </w:r>
      <w:r w:rsidR="00904FC7">
        <w:rPr>
          <w:rFonts w:cstheme="majorBidi"/>
          <w:color w:val="000000" w:themeColor="text1"/>
        </w:rPr>
        <w:t xml:space="preserve">using DESeq2 and </w:t>
      </w:r>
      <w:proofErr w:type="spellStart"/>
      <w:r w:rsidR="00904FC7">
        <w:rPr>
          <w:rFonts w:cstheme="majorBidi"/>
          <w:color w:val="000000" w:themeColor="text1"/>
        </w:rPr>
        <w:t>edgeR</w:t>
      </w:r>
      <w:proofErr w:type="spellEnd"/>
      <w:r w:rsidR="00B424F4" w:rsidRPr="004E46BA">
        <w:rPr>
          <w:rFonts w:cstheme="majorBidi"/>
          <w:color w:val="000000" w:themeColor="text1"/>
        </w:rPr>
        <w:t xml:space="preserve"> packages. </w:t>
      </w:r>
      <w:r w:rsidR="00977908" w:rsidRPr="004E46BA">
        <w:rPr>
          <w:rFonts w:cstheme="majorBidi"/>
          <w:color w:val="000000" w:themeColor="text1"/>
        </w:rPr>
        <w:t xml:space="preserve">We Identified 802 </w:t>
      </w:r>
      <w:r w:rsidR="00B424F4" w:rsidRPr="004E46BA">
        <w:rPr>
          <w:rFonts w:cstheme="majorBidi"/>
          <w:color w:val="000000" w:themeColor="text1"/>
        </w:rPr>
        <w:t>DE genes with</w:t>
      </w:r>
      <w:r w:rsidR="00977908" w:rsidRPr="004E46BA">
        <w:rPr>
          <w:rFonts w:cstheme="majorBidi"/>
          <w:color w:val="000000" w:themeColor="text1"/>
        </w:rPr>
        <w:t xml:space="preserve"> adjusted p-value &lt;0.005 and</w:t>
      </w:r>
      <w:r w:rsidR="00B424F4" w:rsidRPr="004E46BA">
        <w:rPr>
          <w:rFonts w:cstheme="majorBidi"/>
          <w:color w:val="000000" w:themeColor="text1"/>
        </w:rPr>
        <w:t xml:space="preserve"> </w:t>
      </w:r>
      <w:r w:rsidR="00214486">
        <w:rPr>
          <w:rFonts w:cstheme="majorBidi"/>
          <w:color w:val="000000" w:themeColor="text1"/>
        </w:rPr>
        <w:t>FC&gt;</w:t>
      </w:r>
      <w:r w:rsidR="00977908" w:rsidRPr="004E46BA">
        <w:rPr>
          <w:rFonts w:cstheme="majorBidi"/>
          <w:color w:val="000000" w:themeColor="text1"/>
        </w:rPr>
        <w:t>2 from both paired and unpaired analyses.</w:t>
      </w:r>
      <w:r w:rsidR="00214486">
        <w:rPr>
          <w:rFonts w:cstheme="majorBidi"/>
          <w:color w:val="000000" w:themeColor="text1"/>
        </w:rPr>
        <w:t xml:space="preserve"> </w:t>
      </w:r>
      <w:r w:rsidR="00977908" w:rsidRPr="004E46BA">
        <w:rPr>
          <w:rFonts w:eastAsia="Times New Roman" w:cs="Arial"/>
          <w:color w:val="000000"/>
          <w:shd w:val="clear" w:color="auto" w:fill="FFFFFF"/>
        </w:rPr>
        <w:t xml:space="preserve">GSEA analysis was performed to decipher the biological processes involving the differentially expressed genes. Moreover, we identified </w:t>
      </w:r>
      <w:r w:rsidR="006D38AF">
        <w:rPr>
          <w:rFonts w:eastAsia="Times New Roman" w:cs="Arial"/>
          <w:color w:val="000000"/>
          <w:shd w:val="clear" w:color="auto" w:fill="FFFFFF"/>
        </w:rPr>
        <w:t>a new</w:t>
      </w:r>
      <w:r w:rsidR="001410D2" w:rsidRPr="004E46BA">
        <w:rPr>
          <w:rFonts w:eastAsia="Times New Roman" w:cs="Arial"/>
          <w:color w:val="000000"/>
          <w:shd w:val="clear" w:color="auto" w:fill="FFFFFF"/>
        </w:rPr>
        <w:t xml:space="preserve"> QC parameter to confirm paired samples using SNP identified using GATK package.</w:t>
      </w:r>
    </w:p>
    <w:p w14:paraId="00FB9493" w14:textId="3D605D6D" w:rsidR="001410D2" w:rsidRPr="004E46BA" w:rsidRDefault="008F54C2" w:rsidP="004E46BA">
      <w:pPr>
        <w:rPr>
          <w:rFonts w:eastAsia="Times New Roman" w:cs="Arial"/>
          <w:color w:val="000000"/>
          <w:shd w:val="clear" w:color="auto" w:fill="FFFFFF"/>
        </w:rPr>
      </w:pPr>
      <w:r w:rsidRPr="004E46BA">
        <w:rPr>
          <w:b/>
          <w:bCs/>
        </w:rPr>
        <w:t>Results/</w:t>
      </w:r>
      <w:r w:rsidR="00942F05" w:rsidRPr="004E46BA">
        <w:rPr>
          <w:b/>
          <w:bCs/>
        </w:rPr>
        <w:t>conclusions</w:t>
      </w:r>
      <w:r w:rsidRPr="004E46BA">
        <w:rPr>
          <w:b/>
          <w:bCs/>
        </w:rPr>
        <w:t>:</w:t>
      </w:r>
      <w:r w:rsidRPr="004E46BA">
        <w:t xml:space="preserve">  </w:t>
      </w:r>
      <w:r w:rsidR="00214486">
        <w:rPr>
          <w:rFonts w:eastAsia="Times New Roman" w:cs="Arial"/>
          <w:color w:val="000000"/>
          <w:shd w:val="clear" w:color="auto" w:fill="FFFFFF"/>
        </w:rPr>
        <w:t>Collectively,</w:t>
      </w:r>
      <w:r w:rsidR="001410D2" w:rsidRPr="004E46BA">
        <w:rPr>
          <w:rFonts w:eastAsia="Times New Roman" w:cs="Arial"/>
          <w:color w:val="000000"/>
          <w:shd w:val="clear" w:color="auto" w:fill="FFFFFF"/>
        </w:rPr>
        <w:t xml:space="preserve"> preliminary results highlighted </w:t>
      </w:r>
      <w:r w:rsidR="001410D2" w:rsidRPr="004E46BA">
        <w:rPr>
          <w:rFonts w:eastAsia="Times New Roman" w:cs="Arial"/>
          <w:i/>
          <w:iCs/>
          <w:color w:val="000000"/>
          <w:shd w:val="clear" w:color="auto" w:fill="FFFFFF"/>
        </w:rPr>
        <w:t>CNTNAP2, CDH3, CLDN11</w:t>
      </w:r>
      <w:r w:rsidR="001410D2" w:rsidRPr="004E46BA">
        <w:rPr>
          <w:rFonts w:eastAsia="Times New Roman" w:cs="Arial"/>
          <w:color w:val="000000"/>
          <w:shd w:val="clear" w:color="auto" w:fill="FFFFFF"/>
        </w:rPr>
        <w:t xml:space="preserve">, and </w:t>
      </w:r>
      <w:r w:rsidR="001410D2" w:rsidRPr="004E46BA">
        <w:rPr>
          <w:rFonts w:eastAsia="Times New Roman" w:cs="Arial"/>
          <w:i/>
          <w:iCs/>
          <w:color w:val="000000"/>
          <w:shd w:val="clear" w:color="auto" w:fill="FFFFFF"/>
        </w:rPr>
        <w:t>CNTN1</w:t>
      </w:r>
      <w:r w:rsidR="001410D2" w:rsidRPr="004E46BA">
        <w:rPr>
          <w:rFonts w:eastAsia="Times New Roman" w:cs="Arial"/>
          <w:color w:val="000000"/>
          <w:shd w:val="clear" w:color="auto" w:fill="FFFFFF"/>
        </w:rPr>
        <w:t xml:space="preserve"> </w:t>
      </w:r>
      <w:r w:rsidR="004E46BA" w:rsidRPr="004E46BA">
        <w:rPr>
          <w:rFonts w:eastAsia="Times New Roman" w:cs="Arial"/>
          <w:color w:val="000000"/>
          <w:shd w:val="clear" w:color="auto" w:fill="FFFFFF"/>
        </w:rPr>
        <w:t xml:space="preserve">genes </w:t>
      </w:r>
      <w:r w:rsidR="001410D2" w:rsidRPr="004E46BA">
        <w:rPr>
          <w:rFonts w:eastAsia="Times New Roman" w:cs="Arial"/>
          <w:color w:val="000000"/>
          <w:shd w:val="clear" w:color="auto" w:fill="FFFFFF"/>
        </w:rPr>
        <w:t>as part of cell adhesion mol</w:t>
      </w:r>
      <w:r w:rsidR="006D38AF">
        <w:rPr>
          <w:rFonts w:eastAsia="Times New Roman" w:cs="Arial"/>
          <w:color w:val="000000"/>
          <w:shd w:val="clear" w:color="auto" w:fill="FFFFFF"/>
        </w:rPr>
        <w:t>ecule pathway</w:t>
      </w:r>
      <w:r w:rsidR="006636F8" w:rsidRPr="004E46BA">
        <w:rPr>
          <w:rFonts w:eastAsia="Times New Roman" w:cs="Arial"/>
          <w:color w:val="000000"/>
          <w:shd w:val="clear" w:color="auto" w:fill="FFFFFF"/>
        </w:rPr>
        <w:t>. The analysis also revealed</w:t>
      </w:r>
      <w:r w:rsidR="001410D2" w:rsidRPr="004E46BA">
        <w:rPr>
          <w:rFonts w:eastAsia="Times New Roman" w:cs="Arial"/>
          <w:color w:val="000000"/>
          <w:shd w:val="clear" w:color="auto" w:fill="FFFFFF"/>
        </w:rPr>
        <w:t xml:space="preserve"> </w:t>
      </w:r>
      <w:r w:rsidR="001410D2" w:rsidRPr="004E46BA">
        <w:rPr>
          <w:rFonts w:eastAsia="Times New Roman" w:cs="Arial"/>
          <w:i/>
          <w:iCs/>
          <w:color w:val="000000"/>
          <w:shd w:val="clear" w:color="auto" w:fill="FFFFFF"/>
        </w:rPr>
        <w:t>FGFR4</w:t>
      </w:r>
      <w:r w:rsidR="006636F8" w:rsidRPr="004E46BA">
        <w:rPr>
          <w:rFonts w:eastAsia="Times New Roman" w:cs="Arial"/>
          <w:color w:val="000000"/>
          <w:shd w:val="clear" w:color="auto" w:fill="FFFFFF"/>
        </w:rPr>
        <w:t xml:space="preserve"> and</w:t>
      </w:r>
      <w:r w:rsidR="001410D2" w:rsidRPr="004E46BA">
        <w:rPr>
          <w:rFonts w:eastAsia="Times New Roman" w:cs="Arial"/>
          <w:color w:val="000000"/>
          <w:shd w:val="clear" w:color="auto" w:fill="FFFFFF"/>
        </w:rPr>
        <w:t xml:space="preserve"> </w:t>
      </w:r>
      <w:r w:rsidR="001410D2" w:rsidRPr="004E46BA">
        <w:rPr>
          <w:rFonts w:eastAsia="Times New Roman" w:cs="Arial"/>
          <w:i/>
          <w:iCs/>
          <w:color w:val="000000"/>
          <w:shd w:val="clear" w:color="auto" w:fill="FFFFFF"/>
        </w:rPr>
        <w:t>FGF12</w:t>
      </w:r>
      <w:r w:rsidR="006636F8" w:rsidRPr="004E46BA">
        <w:rPr>
          <w:rFonts w:eastAsia="Times New Roman" w:cs="Arial"/>
          <w:i/>
          <w:iCs/>
          <w:color w:val="000000"/>
          <w:shd w:val="clear" w:color="auto" w:fill="FFFFFF"/>
        </w:rPr>
        <w:t xml:space="preserve"> </w:t>
      </w:r>
      <w:r w:rsidR="006636F8" w:rsidRPr="004E46BA">
        <w:rPr>
          <w:rFonts w:eastAsia="Times New Roman" w:cs="Arial"/>
          <w:color w:val="000000"/>
          <w:shd w:val="clear" w:color="auto" w:fill="FFFFFF"/>
        </w:rPr>
        <w:t>involvement in regulation of actin cytoskeleton</w:t>
      </w:r>
      <w:r w:rsidR="006636F8" w:rsidRPr="004E46BA">
        <w:rPr>
          <w:rFonts w:eastAsia="Times New Roman" w:cs="Arial"/>
          <w:i/>
          <w:iCs/>
          <w:color w:val="000000"/>
          <w:shd w:val="clear" w:color="auto" w:fill="FFFFFF"/>
        </w:rPr>
        <w:t>. FGF12, CTNNA3, LAMA1, PDGFRA,</w:t>
      </w:r>
      <w:r w:rsidR="006636F8" w:rsidRPr="004E46BA">
        <w:rPr>
          <w:rFonts w:eastAsia="Times New Roman" w:cs="Arial"/>
          <w:color w:val="000000"/>
          <w:shd w:val="clear" w:color="auto" w:fill="FFFFFF"/>
        </w:rPr>
        <w:t xml:space="preserve"> and </w:t>
      </w:r>
      <w:r w:rsidR="006636F8" w:rsidRPr="004E46BA">
        <w:rPr>
          <w:rFonts w:eastAsia="Times New Roman" w:cs="Arial"/>
          <w:i/>
          <w:iCs/>
          <w:color w:val="000000"/>
          <w:shd w:val="clear" w:color="auto" w:fill="FFFFFF"/>
        </w:rPr>
        <w:t>WNT5A</w:t>
      </w:r>
      <w:r w:rsidR="006636F8" w:rsidRPr="004E46BA">
        <w:rPr>
          <w:rFonts w:eastAsia="Times New Roman" w:cs="Arial"/>
          <w:color w:val="000000"/>
          <w:shd w:val="clear" w:color="auto" w:fill="FFFFFF"/>
        </w:rPr>
        <w:t xml:space="preserve"> also appeared as part of </w:t>
      </w:r>
      <w:r w:rsidR="004849FD" w:rsidRPr="004E46BA">
        <w:rPr>
          <w:rFonts w:eastAsia="Times New Roman" w:cs="Arial"/>
          <w:color w:val="000000"/>
          <w:shd w:val="clear" w:color="auto" w:fill="FFFFFF"/>
        </w:rPr>
        <w:t>KEGG pathways in cancer.</w:t>
      </w:r>
      <w:r w:rsidR="00F330EB" w:rsidRPr="004E46BA">
        <w:rPr>
          <w:rFonts w:eastAsia="Times New Roman" w:cs="Arial"/>
          <w:color w:val="000000"/>
          <w:shd w:val="clear" w:color="auto" w:fill="FFFFFF"/>
        </w:rPr>
        <w:t xml:space="preserve"> Future work will focus </w:t>
      </w:r>
      <w:r w:rsidR="004E46BA" w:rsidRPr="004E46BA">
        <w:rPr>
          <w:rFonts w:eastAsia="Times New Roman" w:cs="Arial"/>
          <w:color w:val="000000"/>
          <w:shd w:val="clear" w:color="auto" w:fill="FFFFFF"/>
        </w:rPr>
        <w:t>more on functional validation of these targets, variant calling, and detection of functional fusions.</w:t>
      </w:r>
    </w:p>
    <w:p w14:paraId="4E7F7DFA" w14:textId="77777777" w:rsidR="001410D2" w:rsidRPr="001410D2" w:rsidRDefault="001410D2" w:rsidP="001410D2">
      <w:pPr>
        <w:rPr>
          <w:rFonts w:ascii="Arial" w:eastAsia="Times New Roman" w:hAnsi="Arial" w:cs="Arial"/>
          <w:color w:val="000000"/>
          <w:sz w:val="20"/>
          <w:szCs w:val="20"/>
          <w:shd w:val="clear" w:color="auto" w:fill="FFFFFF"/>
        </w:rPr>
      </w:pPr>
    </w:p>
    <w:p w14:paraId="0C10D0F7" w14:textId="77777777" w:rsidR="007C4474" w:rsidRDefault="007C4474" w:rsidP="001410D2"/>
    <w:p w14:paraId="7C2D5D4F" w14:textId="77777777" w:rsidR="00942F05" w:rsidRDefault="00942F05" w:rsidP="00942F05"/>
    <w:p w14:paraId="736187C6" w14:textId="77777777" w:rsidR="008F54C2" w:rsidRDefault="008F54C2"/>
    <w:sectPr w:rsidR="008F5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95C5E"/>
    <w:multiLevelType w:val="hybridMultilevel"/>
    <w:tmpl w:val="B80048AA"/>
    <w:lvl w:ilvl="0" w:tplc="F23A1ABA">
      <w:start w:val="1"/>
      <w:numFmt w:val="bullet"/>
      <w:lvlText w:val="•"/>
      <w:lvlJc w:val="left"/>
      <w:pPr>
        <w:tabs>
          <w:tab w:val="num" w:pos="720"/>
        </w:tabs>
        <w:ind w:left="720" w:hanging="360"/>
      </w:pPr>
      <w:rPr>
        <w:rFonts w:ascii="Arial" w:hAnsi="Arial" w:hint="default"/>
      </w:rPr>
    </w:lvl>
    <w:lvl w:ilvl="1" w:tplc="A2704D04" w:tentative="1">
      <w:start w:val="1"/>
      <w:numFmt w:val="bullet"/>
      <w:lvlText w:val="•"/>
      <w:lvlJc w:val="left"/>
      <w:pPr>
        <w:tabs>
          <w:tab w:val="num" w:pos="1440"/>
        </w:tabs>
        <w:ind w:left="1440" w:hanging="360"/>
      </w:pPr>
      <w:rPr>
        <w:rFonts w:ascii="Arial" w:hAnsi="Arial" w:hint="default"/>
      </w:rPr>
    </w:lvl>
    <w:lvl w:ilvl="2" w:tplc="1460E878" w:tentative="1">
      <w:start w:val="1"/>
      <w:numFmt w:val="bullet"/>
      <w:lvlText w:val="•"/>
      <w:lvlJc w:val="left"/>
      <w:pPr>
        <w:tabs>
          <w:tab w:val="num" w:pos="2160"/>
        </w:tabs>
        <w:ind w:left="2160" w:hanging="360"/>
      </w:pPr>
      <w:rPr>
        <w:rFonts w:ascii="Arial" w:hAnsi="Arial" w:hint="default"/>
      </w:rPr>
    </w:lvl>
    <w:lvl w:ilvl="3" w:tplc="F21CCC3E" w:tentative="1">
      <w:start w:val="1"/>
      <w:numFmt w:val="bullet"/>
      <w:lvlText w:val="•"/>
      <w:lvlJc w:val="left"/>
      <w:pPr>
        <w:tabs>
          <w:tab w:val="num" w:pos="2880"/>
        </w:tabs>
        <w:ind w:left="2880" w:hanging="360"/>
      </w:pPr>
      <w:rPr>
        <w:rFonts w:ascii="Arial" w:hAnsi="Arial" w:hint="default"/>
      </w:rPr>
    </w:lvl>
    <w:lvl w:ilvl="4" w:tplc="DE1A19DE" w:tentative="1">
      <w:start w:val="1"/>
      <w:numFmt w:val="bullet"/>
      <w:lvlText w:val="•"/>
      <w:lvlJc w:val="left"/>
      <w:pPr>
        <w:tabs>
          <w:tab w:val="num" w:pos="3600"/>
        </w:tabs>
        <w:ind w:left="3600" w:hanging="360"/>
      </w:pPr>
      <w:rPr>
        <w:rFonts w:ascii="Arial" w:hAnsi="Arial" w:hint="default"/>
      </w:rPr>
    </w:lvl>
    <w:lvl w:ilvl="5" w:tplc="CDD4D144" w:tentative="1">
      <w:start w:val="1"/>
      <w:numFmt w:val="bullet"/>
      <w:lvlText w:val="•"/>
      <w:lvlJc w:val="left"/>
      <w:pPr>
        <w:tabs>
          <w:tab w:val="num" w:pos="4320"/>
        </w:tabs>
        <w:ind w:left="4320" w:hanging="360"/>
      </w:pPr>
      <w:rPr>
        <w:rFonts w:ascii="Arial" w:hAnsi="Arial" w:hint="default"/>
      </w:rPr>
    </w:lvl>
    <w:lvl w:ilvl="6" w:tplc="B45A8BB0" w:tentative="1">
      <w:start w:val="1"/>
      <w:numFmt w:val="bullet"/>
      <w:lvlText w:val="•"/>
      <w:lvlJc w:val="left"/>
      <w:pPr>
        <w:tabs>
          <w:tab w:val="num" w:pos="5040"/>
        </w:tabs>
        <w:ind w:left="5040" w:hanging="360"/>
      </w:pPr>
      <w:rPr>
        <w:rFonts w:ascii="Arial" w:hAnsi="Arial" w:hint="default"/>
      </w:rPr>
    </w:lvl>
    <w:lvl w:ilvl="7" w:tplc="7F264520" w:tentative="1">
      <w:start w:val="1"/>
      <w:numFmt w:val="bullet"/>
      <w:lvlText w:val="•"/>
      <w:lvlJc w:val="left"/>
      <w:pPr>
        <w:tabs>
          <w:tab w:val="num" w:pos="5760"/>
        </w:tabs>
        <w:ind w:left="5760" w:hanging="360"/>
      </w:pPr>
      <w:rPr>
        <w:rFonts w:ascii="Arial" w:hAnsi="Arial" w:hint="default"/>
      </w:rPr>
    </w:lvl>
    <w:lvl w:ilvl="8" w:tplc="52C4937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AF3"/>
    <w:rsid w:val="000D24C1"/>
    <w:rsid w:val="00121458"/>
    <w:rsid w:val="001256F7"/>
    <w:rsid w:val="001410D2"/>
    <w:rsid w:val="00194201"/>
    <w:rsid w:val="00195DC3"/>
    <w:rsid w:val="001A6AF3"/>
    <w:rsid w:val="00214486"/>
    <w:rsid w:val="00253632"/>
    <w:rsid w:val="002E31E2"/>
    <w:rsid w:val="00375E64"/>
    <w:rsid w:val="003E08CF"/>
    <w:rsid w:val="004849FD"/>
    <w:rsid w:val="004868B6"/>
    <w:rsid w:val="004E46BA"/>
    <w:rsid w:val="00564DDC"/>
    <w:rsid w:val="0059182D"/>
    <w:rsid w:val="006636F8"/>
    <w:rsid w:val="006D38AF"/>
    <w:rsid w:val="00757012"/>
    <w:rsid w:val="00794212"/>
    <w:rsid w:val="007C4474"/>
    <w:rsid w:val="00801B27"/>
    <w:rsid w:val="008F54C2"/>
    <w:rsid w:val="00904FC7"/>
    <w:rsid w:val="00942F05"/>
    <w:rsid w:val="00977908"/>
    <w:rsid w:val="00A54349"/>
    <w:rsid w:val="00B424F4"/>
    <w:rsid w:val="00BA7BC9"/>
    <w:rsid w:val="00BD17E0"/>
    <w:rsid w:val="00CB4E36"/>
    <w:rsid w:val="00DA0269"/>
    <w:rsid w:val="00E170DF"/>
    <w:rsid w:val="00E705F5"/>
    <w:rsid w:val="00F330EB"/>
    <w:rsid w:val="00F5136D"/>
    <w:rsid w:val="00FA40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212"/>
    <w:pPr>
      <w:spacing w:after="0" w:line="240" w:lineRule="auto"/>
      <w:ind w:left="720"/>
      <w:contextualSpacing/>
    </w:pPr>
    <w:rPr>
      <w:rFonts w:ascii="Times New Roman" w:eastAsia="Times New Roman" w:hAnsi="Times New Roman" w:cs="Times New Roman"/>
      <w:sz w:val="24"/>
      <w:szCs w:val="24"/>
    </w:rPr>
  </w:style>
  <w:style w:type="character" w:customStyle="1" w:styleId="highlight">
    <w:name w:val="highlight"/>
    <w:basedOn w:val="DefaultParagraphFont"/>
    <w:rsid w:val="00253632"/>
  </w:style>
  <w:style w:type="character" w:customStyle="1" w:styleId="apple-converted-space">
    <w:name w:val="apple-converted-space"/>
    <w:basedOn w:val="DefaultParagraphFont"/>
    <w:rsid w:val="00B424F4"/>
  </w:style>
  <w:style w:type="paragraph" w:styleId="NormalWeb">
    <w:name w:val="Normal (Web)"/>
    <w:basedOn w:val="Normal"/>
    <w:uiPriority w:val="99"/>
    <w:semiHidden/>
    <w:unhideWhenUsed/>
    <w:rsid w:val="001410D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6636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212"/>
    <w:pPr>
      <w:spacing w:after="0" w:line="240" w:lineRule="auto"/>
      <w:ind w:left="720"/>
      <w:contextualSpacing/>
    </w:pPr>
    <w:rPr>
      <w:rFonts w:ascii="Times New Roman" w:eastAsia="Times New Roman" w:hAnsi="Times New Roman" w:cs="Times New Roman"/>
      <w:sz w:val="24"/>
      <w:szCs w:val="24"/>
    </w:rPr>
  </w:style>
  <w:style w:type="character" w:customStyle="1" w:styleId="highlight">
    <w:name w:val="highlight"/>
    <w:basedOn w:val="DefaultParagraphFont"/>
    <w:rsid w:val="00253632"/>
  </w:style>
  <w:style w:type="character" w:customStyle="1" w:styleId="apple-converted-space">
    <w:name w:val="apple-converted-space"/>
    <w:basedOn w:val="DefaultParagraphFont"/>
    <w:rsid w:val="00B424F4"/>
  </w:style>
  <w:style w:type="paragraph" w:styleId="NormalWeb">
    <w:name w:val="Normal (Web)"/>
    <w:basedOn w:val="Normal"/>
    <w:uiPriority w:val="99"/>
    <w:semiHidden/>
    <w:unhideWhenUsed/>
    <w:rsid w:val="001410D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6636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3259">
      <w:bodyDiv w:val="1"/>
      <w:marLeft w:val="0"/>
      <w:marRight w:val="0"/>
      <w:marTop w:val="0"/>
      <w:marBottom w:val="0"/>
      <w:divBdr>
        <w:top w:val="none" w:sz="0" w:space="0" w:color="auto"/>
        <w:left w:val="none" w:sz="0" w:space="0" w:color="auto"/>
        <w:bottom w:val="none" w:sz="0" w:space="0" w:color="auto"/>
        <w:right w:val="none" w:sz="0" w:space="0" w:color="auto"/>
      </w:divBdr>
    </w:div>
    <w:div w:id="494148987">
      <w:bodyDiv w:val="1"/>
      <w:marLeft w:val="0"/>
      <w:marRight w:val="0"/>
      <w:marTop w:val="0"/>
      <w:marBottom w:val="0"/>
      <w:divBdr>
        <w:top w:val="none" w:sz="0" w:space="0" w:color="auto"/>
        <w:left w:val="none" w:sz="0" w:space="0" w:color="auto"/>
        <w:bottom w:val="none" w:sz="0" w:space="0" w:color="auto"/>
        <w:right w:val="none" w:sz="0" w:space="0" w:color="auto"/>
      </w:divBdr>
      <w:divsChild>
        <w:div w:id="1551963415">
          <w:marLeft w:val="547"/>
          <w:marRight w:val="0"/>
          <w:marTop w:val="144"/>
          <w:marBottom w:val="0"/>
          <w:divBdr>
            <w:top w:val="none" w:sz="0" w:space="0" w:color="auto"/>
            <w:left w:val="none" w:sz="0" w:space="0" w:color="auto"/>
            <w:bottom w:val="none" w:sz="0" w:space="0" w:color="auto"/>
            <w:right w:val="none" w:sz="0" w:space="0" w:color="auto"/>
          </w:divBdr>
        </w:div>
      </w:divsChild>
    </w:div>
    <w:div w:id="625962978">
      <w:bodyDiv w:val="1"/>
      <w:marLeft w:val="0"/>
      <w:marRight w:val="0"/>
      <w:marTop w:val="0"/>
      <w:marBottom w:val="0"/>
      <w:divBdr>
        <w:top w:val="none" w:sz="0" w:space="0" w:color="auto"/>
        <w:left w:val="none" w:sz="0" w:space="0" w:color="auto"/>
        <w:bottom w:val="none" w:sz="0" w:space="0" w:color="auto"/>
        <w:right w:val="none" w:sz="0" w:space="0" w:color="auto"/>
      </w:divBdr>
    </w:div>
    <w:div w:id="712920987">
      <w:bodyDiv w:val="1"/>
      <w:marLeft w:val="0"/>
      <w:marRight w:val="0"/>
      <w:marTop w:val="0"/>
      <w:marBottom w:val="0"/>
      <w:divBdr>
        <w:top w:val="none" w:sz="0" w:space="0" w:color="auto"/>
        <w:left w:val="none" w:sz="0" w:space="0" w:color="auto"/>
        <w:bottom w:val="none" w:sz="0" w:space="0" w:color="auto"/>
        <w:right w:val="none" w:sz="0" w:space="0" w:color="auto"/>
      </w:divBdr>
    </w:div>
    <w:div w:id="925965763">
      <w:bodyDiv w:val="1"/>
      <w:marLeft w:val="0"/>
      <w:marRight w:val="0"/>
      <w:marTop w:val="0"/>
      <w:marBottom w:val="0"/>
      <w:divBdr>
        <w:top w:val="none" w:sz="0" w:space="0" w:color="auto"/>
        <w:left w:val="none" w:sz="0" w:space="0" w:color="auto"/>
        <w:bottom w:val="none" w:sz="0" w:space="0" w:color="auto"/>
        <w:right w:val="none" w:sz="0" w:space="0" w:color="auto"/>
      </w:divBdr>
    </w:div>
    <w:div w:id="1337730551">
      <w:bodyDiv w:val="1"/>
      <w:marLeft w:val="0"/>
      <w:marRight w:val="0"/>
      <w:marTop w:val="0"/>
      <w:marBottom w:val="0"/>
      <w:divBdr>
        <w:top w:val="none" w:sz="0" w:space="0" w:color="auto"/>
        <w:left w:val="none" w:sz="0" w:space="0" w:color="auto"/>
        <w:bottom w:val="none" w:sz="0" w:space="0" w:color="auto"/>
        <w:right w:val="none" w:sz="0" w:space="0" w:color="auto"/>
      </w:divBdr>
    </w:div>
    <w:div w:id="1379276188">
      <w:bodyDiv w:val="1"/>
      <w:marLeft w:val="0"/>
      <w:marRight w:val="0"/>
      <w:marTop w:val="0"/>
      <w:marBottom w:val="0"/>
      <w:divBdr>
        <w:top w:val="none" w:sz="0" w:space="0" w:color="auto"/>
        <w:left w:val="none" w:sz="0" w:space="0" w:color="auto"/>
        <w:bottom w:val="none" w:sz="0" w:space="0" w:color="auto"/>
        <w:right w:val="none" w:sz="0" w:space="0" w:color="auto"/>
      </w:divBdr>
    </w:div>
    <w:div w:id="1542132179">
      <w:bodyDiv w:val="1"/>
      <w:marLeft w:val="0"/>
      <w:marRight w:val="0"/>
      <w:marTop w:val="0"/>
      <w:marBottom w:val="0"/>
      <w:divBdr>
        <w:top w:val="none" w:sz="0" w:space="0" w:color="auto"/>
        <w:left w:val="none" w:sz="0" w:space="0" w:color="auto"/>
        <w:bottom w:val="none" w:sz="0" w:space="0" w:color="auto"/>
        <w:right w:val="none" w:sz="0" w:space="0" w:color="auto"/>
      </w:divBdr>
    </w:div>
    <w:div w:id="1566062517">
      <w:bodyDiv w:val="1"/>
      <w:marLeft w:val="0"/>
      <w:marRight w:val="0"/>
      <w:marTop w:val="0"/>
      <w:marBottom w:val="0"/>
      <w:divBdr>
        <w:top w:val="none" w:sz="0" w:space="0" w:color="auto"/>
        <w:left w:val="none" w:sz="0" w:space="0" w:color="auto"/>
        <w:bottom w:val="none" w:sz="0" w:space="0" w:color="auto"/>
        <w:right w:val="none" w:sz="0" w:space="0" w:color="auto"/>
      </w:divBdr>
    </w:div>
    <w:div w:id="188706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Basudan, Ahmed</dc:creator>
  <cp:lastModifiedBy>Basudan, Ahmed</cp:lastModifiedBy>
  <cp:revision>3</cp:revision>
  <dcterms:created xsi:type="dcterms:W3CDTF">2016-05-31T13:53:00Z</dcterms:created>
  <dcterms:modified xsi:type="dcterms:W3CDTF">2016-05-31T13:54:00Z</dcterms:modified>
</cp:coreProperties>
</file>