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706" w:rsidRDefault="00660706" w:rsidP="00660706">
      <w:pPr>
        <w:pStyle w:val="BodyText"/>
        <w:kinsoku w:val="0"/>
        <w:overflowPunct w:val="0"/>
        <w:spacing w:before="31"/>
        <w:ind w:left="1283" w:right="183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MULTIDISCIPLINARY MASTER OF PUBLIC HEALTH DEGREE PROGRAM TOTAL MINIMUM PROGRAM CREDITS: 42</w:t>
      </w:r>
    </w:p>
    <w:p w:rsidR="00660706" w:rsidRDefault="00660706" w:rsidP="00660706">
      <w:pPr>
        <w:pStyle w:val="BodyText"/>
        <w:kinsoku w:val="0"/>
        <w:overflowPunct w:val="0"/>
        <w:spacing w:before="2"/>
        <w:rPr>
          <w:b/>
          <w:bCs/>
          <w:sz w:val="22"/>
          <w:szCs w:val="22"/>
        </w:rPr>
      </w:pPr>
    </w:p>
    <w:p w:rsidR="00660706" w:rsidRDefault="00660706" w:rsidP="00660706">
      <w:pPr>
        <w:pStyle w:val="BodyText"/>
        <w:kinsoku w:val="0"/>
        <w:overflowPunct w:val="0"/>
        <w:ind w:left="1283" w:right="183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Required Courses</w:t>
      </w:r>
    </w:p>
    <w:p w:rsidR="00660706" w:rsidRDefault="00660706" w:rsidP="00660706">
      <w:pPr>
        <w:pStyle w:val="BodyText"/>
        <w:kinsoku w:val="0"/>
        <w:overflowPunct w:val="0"/>
        <w:spacing w:before="11"/>
        <w:rPr>
          <w:b/>
          <w:bCs/>
          <w:sz w:val="21"/>
          <w:szCs w:val="21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4481"/>
        <w:gridCol w:w="973"/>
        <w:gridCol w:w="761"/>
        <w:gridCol w:w="859"/>
      </w:tblGrid>
      <w:tr w:rsidR="00660706" w:rsidTr="007D24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spacing w:before="33" w:line="248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GSPH CORE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spacing w:before="33" w:line="248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spacing w:before="33" w:line="248" w:lineRule="exact"/>
              <w:ind w:left="86" w:right="7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CREDITS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spacing w:before="33" w:line="248" w:lineRule="exact"/>
              <w:ind w:left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spacing w:before="33" w:line="248" w:lineRule="exact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GRADE</w:t>
            </w:r>
          </w:p>
        </w:tc>
      </w:tr>
      <w:tr w:rsidR="00660706" w:rsidTr="007D24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spacing w:before="31" w:line="24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BCHS 2509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spacing w:before="31" w:line="24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&amp; Behavioral Aspects of Public Health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spacing w:before="31" w:line="248" w:lineRule="exact"/>
              <w:ind w:left="7"/>
              <w:jc w:val="center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706" w:rsidTr="007D24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spacing w:before="16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BIOST 2011</w:t>
            </w:r>
          </w:p>
          <w:p w:rsidR="00660706" w:rsidRDefault="00660706" w:rsidP="007D24F5">
            <w:pPr>
              <w:pStyle w:val="TableParagraph"/>
              <w:kinsoku w:val="0"/>
              <w:overflowPunct w:val="0"/>
              <w:spacing w:before="15" w:line="300" w:lineRule="atLeast"/>
              <w:ind w:left="107" w:right="758" w:firstLine="4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 BIOST 2041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spacing w:before="31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Principles of Statistical Reasoning</w:t>
            </w:r>
          </w:p>
          <w:p w:rsidR="00660706" w:rsidRDefault="00660706" w:rsidP="007D24F5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7"/>
                <w:szCs w:val="27"/>
              </w:rPr>
            </w:pPr>
          </w:p>
          <w:p w:rsidR="00660706" w:rsidRDefault="00660706" w:rsidP="007D24F5">
            <w:pPr>
              <w:pStyle w:val="TableParagraph"/>
              <w:kinsoku w:val="0"/>
              <w:overflowPunct w:val="0"/>
              <w:spacing w:line="24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 to Statistical Methods I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spacing w:before="31"/>
              <w:ind w:left="6"/>
              <w:jc w:val="center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3</w:t>
            </w:r>
          </w:p>
          <w:p w:rsidR="00660706" w:rsidRDefault="00660706" w:rsidP="007D24F5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7"/>
                <w:szCs w:val="27"/>
              </w:rPr>
            </w:pPr>
          </w:p>
          <w:p w:rsidR="00660706" w:rsidRDefault="00660706" w:rsidP="007D24F5">
            <w:pPr>
              <w:pStyle w:val="TableParagraph"/>
              <w:kinsoku w:val="0"/>
              <w:overflowPunct w:val="0"/>
              <w:spacing w:line="248" w:lineRule="exact"/>
              <w:ind w:left="6"/>
              <w:jc w:val="center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706" w:rsidTr="007D24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spacing w:before="32" w:line="24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EOH 2013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spacing w:before="32" w:line="24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Environmental Health and Disease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spacing w:before="32" w:line="248" w:lineRule="exact"/>
              <w:ind w:left="6"/>
              <w:jc w:val="center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706" w:rsidTr="007D24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spacing w:before="31" w:line="24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EPIDEM 2110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spacing w:before="31" w:line="24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Principles of Epidemiology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spacing w:before="31" w:line="248" w:lineRule="exact"/>
              <w:ind w:left="7"/>
              <w:jc w:val="center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706" w:rsidTr="007D24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spacing w:before="31" w:line="24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HPM 2001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spacing w:before="31" w:line="24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 Policy and Management in Public Health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spacing w:before="31" w:line="248" w:lineRule="exact"/>
              <w:ind w:left="7"/>
              <w:jc w:val="center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706" w:rsidTr="007D24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spacing w:before="32" w:line="24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PUBHLT 2015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spacing w:before="32" w:line="24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 Health Biology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spacing w:before="32" w:line="248" w:lineRule="exact"/>
              <w:ind w:left="6"/>
              <w:jc w:val="center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706" w:rsidTr="007D24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spacing w:before="31" w:line="24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PUBHLT 2022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spacing w:before="31" w:line="24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Dean’s Public Health Grand Rounds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spacing w:before="31" w:line="248" w:lineRule="exact"/>
              <w:ind w:left="7"/>
              <w:jc w:val="center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706" w:rsidTr="007D24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spacing w:before="31" w:line="24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PUBHLT 2022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spacing w:before="31" w:line="24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Dean’s Public Health Grand Rounds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spacing w:before="31" w:line="248" w:lineRule="exact"/>
              <w:ind w:left="7"/>
              <w:jc w:val="center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706" w:rsidTr="007D24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spacing w:before="17" w:line="264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PUBHLT 2033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spacing w:before="17" w:line="264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Foundations in Public Health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spacing w:before="17" w:line="264" w:lineRule="exact"/>
              <w:ind w:left="7"/>
              <w:jc w:val="center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706" w:rsidTr="007D24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spacing w:before="16" w:line="264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PUBHLT 2034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spacing w:before="16" w:line="264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 Health Communications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spacing w:before="16" w:line="264" w:lineRule="exact"/>
              <w:ind w:left="6"/>
              <w:jc w:val="center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706" w:rsidTr="007D24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spacing w:before="16" w:line="264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PUBHLT 2035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spacing w:before="16" w:line="264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Applications in Public Health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spacing w:before="16" w:line="264" w:lineRule="exact"/>
              <w:ind w:left="6"/>
              <w:jc w:val="center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706" w:rsidTr="007D24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20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spacing w:before="32" w:line="248" w:lineRule="exact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spacing w:before="32" w:line="248" w:lineRule="exact"/>
              <w:ind w:left="86" w:right="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0706" w:rsidRDefault="00660706" w:rsidP="00660706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:rsidR="00660706" w:rsidRDefault="00660706" w:rsidP="00660706">
      <w:pPr>
        <w:pStyle w:val="BodyText"/>
        <w:kinsoku w:val="0"/>
        <w:overflowPunct w:val="0"/>
        <w:ind w:left="235" w:right="993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Electives: </w:t>
      </w:r>
      <w:r>
        <w:rPr>
          <w:sz w:val="22"/>
          <w:szCs w:val="22"/>
        </w:rPr>
        <w:t xml:space="preserve">Take as many of the following </w:t>
      </w:r>
      <w:proofErr w:type="gramStart"/>
      <w:r>
        <w:rPr>
          <w:sz w:val="22"/>
          <w:szCs w:val="22"/>
        </w:rPr>
        <w:t>courses which</w:t>
      </w:r>
      <w:proofErr w:type="gramEnd"/>
      <w:r>
        <w:rPr>
          <w:sz w:val="22"/>
          <w:szCs w:val="22"/>
        </w:rPr>
        <w:t xml:space="preserve"> should have arisen out of your meeting with Dr. Finegold as needed to bring your program total to the level that it needs to be: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6"/>
        <w:gridCol w:w="4479"/>
        <w:gridCol w:w="974"/>
        <w:gridCol w:w="759"/>
        <w:gridCol w:w="860"/>
      </w:tblGrid>
      <w:tr w:rsidR="00660706" w:rsidTr="007D24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spacing w:before="32" w:line="248" w:lineRule="exact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 NUMBER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spacing w:before="32" w:line="248" w:lineRule="exact"/>
              <w:ind w:left="10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spacing w:before="32" w:line="248" w:lineRule="exact"/>
              <w:ind w:left="87" w:right="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CREDITS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spacing w:before="32" w:line="248" w:lineRule="exact"/>
              <w:ind w:left="11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spacing w:before="32" w:line="248" w:lineRule="exact"/>
              <w:ind w:left="10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GRADE</w:t>
            </w:r>
          </w:p>
        </w:tc>
      </w:tr>
      <w:tr w:rsidR="00660706" w:rsidTr="007D24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706" w:rsidTr="007D24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706" w:rsidTr="007D24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706" w:rsidTr="007D24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1976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spacing w:before="31" w:line="248" w:lineRule="exact"/>
              <w:ind w:left="10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spacing w:before="31" w:line="248" w:lineRule="exact"/>
              <w:ind w:left="10"/>
              <w:jc w:val="center"/>
              <w:rPr>
                <w:b/>
                <w:bCs/>
                <w:w w:val="99"/>
                <w:sz w:val="22"/>
                <w:szCs w:val="22"/>
              </w:rPr>
            </w:pPr>
            <w:r>
              <w:rPr>
                <w:b/>
                <w:bCs/>
                <w:w w:val="99"/>
                <w:sz w:val="22"/>
                <w:szCs w:val="22"/>
              </w:rPr>
              <w:t>10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0706" w:rsidRDefault="00660706" w:rsidP="00660706">
      <w:pPr>
        <w:pStyle w:val="BodyText"/>
        <w:kinsoku w:val="0"/>
        <w:overflowPunct w:val="0"/>
        <w:ind w:left="235" w:right="993"/>
        <w:rPr>
          <w:sz w:val="22"/>
          <w:szCs w:val="22"/>
        </w:rPr>
      </w:pPr>
    </w:p>
    <w:p w:rsidR="00660706" w:rsidRDefault="00660706" w:rsidP="00660706">
      <w:pPr>
        <w:pStyle w:val="BodyText"/>
        <w:kinsoku w:val="0"/>
        <w:overflowPunct w:val="0"/>
        <w:ind w:left="235" w:right="993"/>
        <w:rPr>
          <w:sz w:val="22"/>
          <w:szCs w:val="2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6"/>
        <w:gridCol w:w="4479"/>
        <w:gridCol w:w="974"/>
        <w:gridCol w:w="759"/>
        <w:gridCol w:w="860"/>
      </w:tblGrid>
      <w:tr w:rsidR="00660706" w:rsidTr="007D24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spacing w:before="31" w:line="248" w:lineRule="exact"/>
              <w:ind w:left="106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Transfer Credits: </w:t>
            </w:r>
            <w:r>
              <w:rPr>
                <w:sz w:val="22"/>
                <w:szCs w:val="22"/>
              </w:rPr>
              <w:t>Block or SCOPE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spacing w:before="31" w:line="248" w:lineRule="exact"/>
              <w:ind w:left="10"/>
              <w:jc w:val="center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706" w:rsidTr="007D24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1976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spacing w:before="31" w:line="248" w:lineRule="exact"/>
              <w:ind w:left="10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spacing w:before="31" w:line="248" w:lineRule="exact"/>
              <w:ind w:left="10"/>
              <w:jc w:val="center"/>
              <w:rPr>
                <w:b/>
                <w:bCs/>
                <w:w w:val="99"/>
                <w:sz w:val="22"/>
                <w:szCs w:val="22"/>
              </w:rPr>
            </w:pPr>
            <w:r>
              <w:rPr>
                <w:b/>
                <w:bCs/>
                <w:w w:val="99"/>
                <w:sz w:val="22"/>
                <w:szCs w:val="22"/>
              </w:rPr>
              <w:t>6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0706" w:rsidRDefault="00660706" w:rsidP="00660706">
      <w:pPr>
        <w:pStyle w:val="BodyText"/>
        <w:kinsoku w:val="0"/>
        <w:overflowPunct w:val="0"/>
        <w:spacing w:before="3"/>
        <w:rPr>
          <w:sz w:val="27"/>
          <w:szCs w:val="27"/>
        </w:rPr>
      </w:pPr>
    </w:p>
    <w:p w:rsidR="00660706" w:rsidRDefault="00660706" w:rsidP="00660706">
      <w:pPr>
        <w:pStyle w:val="BodyText"/>
        <w:kinsoku w:val="0"/>
        <w:overflowPunct w:val="0"/>
        <w:ind w:left="213"/>
        <w:rPr>
          <w:sz w:val="22"/>
          <w:szCs w:val="22"/>
        </w:rPr>
      </w:pPr>
      <w:r>
        <w:rPr>
          <w:sz w:val="22"/>
          <w:szCs w:val="22"/>
        </w:rPr>
        <w:t>ESSAY/THESIS REQUIREMENT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6"/>
        <w:gridCol w:w="4479"/>
        <w:gridCol w:w="974"/>
        <w:gridCol w:w="759"/>
        <w:gridCol w:w="860"/>
      </w:tblGrid>
      <w:tr w:rsidR="00660706" w:rsidTr="007D24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spacing w:before="31" w:line="248" w:lineRule="exact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 NUMBER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spacing w:before="31" w:line="248" w:lineRule="exact"/>
              <w:ind w:left="10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spacing w:before="31" w:line="248" w:lineRule="exact"/>
              <w:ind w:left="87" w:right="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CREDITS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spacing w:before="31" w:line="248" w:lineRule="exact"/>
              <w:ind w:left="11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spacing w:before="31" w:line="248" w:lineRule="exact"/>
              <w:ind w:left="10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GRADE</w:t>
            </w:r>
          </w:p>
        </w:tc>
      </w:tr>
      <w:tr w:rsidR="00660706" w:rsidTr="007D24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PUBHLT 2002 or</w:t>
            </w:r>
          </w:p>
          <w:p w:rsidR="00660706" w:rsidRDefault="00660706" w:rsidP="007D24F5">
            <w:pPr>
              <w:pStyle w:val="TableParagraph"/>
              <w:kinsoku w:val="0"/>
              <w:overflowPunct w:val="0"/>
              <w:spacing w:line="24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660706" w:rsidRDefault="00660706" w:rsidP="007D24F5">
            <w:pPr>
              <w:pStyle w:val="TableParagraph"/>
              <w:kinsoku w:val="0"/>
              <w:overflowPunct w:val="0"/>
              <w:spacing w:line="24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MMPH Essay/Thesis ‐ see guidelines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660706" w:rsidRDefault="00660706" w:rsidP="007D24F5">
            <w:pPr>
              <w:pStyle w:val="TableParagraph"/>
              <w:kinsoku w:val="0"/>
              <w:overflowPunct w:val="0"/>
              <w:spacing w:line="248" w:lineRule="exact"/>
              <w:ind w:left="87" w:right="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or 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706" w:rsidTr="007D24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spacing w:before="16" w:line="264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PUBHLT 2029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spacing w:before="16" w:line="264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MMPH Practicum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spacing w:before="16" w:line="264" w:lineRule="exact"/>
              <w:ind w:left="87" w:right="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1‐3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706" w:rsidTr="007D24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1976" w:type="dxa"/>
            <w:vMerge w:val="restart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spacing w:before="47" w:line="247" w:lineRule="exact"/>
              <w:ind w:left="10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706" w:rsidTr="007D24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976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660706" w:rsidRDefault="00660706" w:rsidP="007D24F5">
            <w:pPr>
              <w:pStyle w:val="BodyText"/>
              <w:kinsoku w:val="0"/>
              <w:overflowPunct w:val="0"/>
              <w:ind w:left="213"/>
              <w:rPr>
                <w:sz w:val="2"/>
                <w:szCs w:val="2"/>
              </w:rPr>
            </w:pPr>
          </w:p>
        </w:tc>
        <w:tc>
          <w:tcPr>
            <w:tcW w:w="447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spacing w:before="47" w:line="248" w:lineRule="exact"/>
              <w:ind w:left="1654" w:right="159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Overall</w:t>
            </w:r>
          </w:p>
        </w:tc>
        <w:tc>
          <w:tcPr>
            <w:tcW w:w="97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06" w:rsidRDefault="00660706" w:rsidP="007D24F5">
            <w:pPr>
              <w:pStyle w:val="TableParagraph"/>
              <w:kinsoku w:val="0"/>
              <w:overflowPunct w:val="0"/>
              <w:spacing w:before="47" w:line="248" w:lineRule="exact"/>
              <w:ind w:left="10"/>
              <w:jc w:val="center"/>
              <w:rPr>
                <w:b/>
                <w:bCs/>
                <w:w w:val="99"/>
                <w:sz w:val="22"/>
                <w:szCs w:val="22"/>
              </w:rPr>
            </w:pPr>
            <w:r>
              <w:rPr>
                <w:b/>
                <w:bCs/>
                <w:w w:val="99"/>
                <w:sz w:val="22"/>
                <w:szCs w:val="22"/>
              </w:rPr>
              <w:t>5</w:t>
            </w: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660706" w:rsidRDefault="00660706" w:rsidP="007D24F5">
            <w:pPr>
              <w:pStyle w:val="BodyText"/>
              <w:kinsoku w:val="0"/>
              <w:overflowPunct w:val="0"/>
              <w:ind w:left="213"/>
              <w:rPr>
                <w:sz w:val="2"/>
                <w:szCs w:val="2"/>
              </w:rPr>
            </w:pPr>
          </w:p>
        </w:tc>
      </w:tr>
    </w:tbl>
    <w:p w:rsidR="00AB13F2" w:rsidRDefault="00660706" w:rsidP="00660706">
      <w:pPr>
        <w:pStyle w:val="BodyText"/>
        <w:kinsoku w:val="0"/>
        <w:overflowPunct w:val="0"/>
        <w:spacing w:line="268" w:lineRule="auto"/>
        <w:ind w:left="213" w:right="559"/>
      </w:pPr>
      <w:r>
        <w:rPr>
          <w:i/>
          <w:iCs/>
          <w:sz w:val="22"/>
          <w:szCs w:val="22"/>
        </w:rPr>
        <w:t xml:space="preserve">Waivers of program requirements, transfer credits, core courses, and electives </w:t>
      </w:r>
      <w:proofErr w:type="gramStart"/>
      <w:r>
        <w:rPr>
          <w:i/>
          <w:iCs/>
          <w:sz w:val="22"/>
          <w:szCs w:val="22"/>
        </w:rPr>
        <w:t>must be made</w:t>
      </w:r>
      <w:proofErr w:type="gramEnd"/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w</w:t>
      </w:r>
      <w:r>
        <w:rPr>
          <w:i/>
          <w:iCs/>
          <w:sz w:val="22"/>
          <w:szCs w:val="22"/>
        </w:rPr>
        <w:t>ith the consent of the Director.</w:t>
      </w:r>
      <w:bookmarkStart w:id="0" w:name="_GoBack"/>
      <w:bookmarkEnd w:id="0"/>
    </w:p>
    <w:sectPr w:rsidR="00AB1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06"/>
    <w:rsid w:val="002273AA"/>
    <w:rsid w:val="00660706"/>
    <w:rsid w:val="00AB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79D674C2"/>
  <w15:chartTrackingRefBased/>
  <w15:docId w15:val="{EDF7C3EF-B4AA-4C3F-B9C4-35BE7C62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607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6070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60706"/>
    <w:rPr>
      <w:rFonts w:ascii="Calibri" w:eastAsiaTheme="minorEastAsia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607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GSPH Dean's Office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Haston, Summer-Rae</dc:creator>
  <cp:keywords/>
  <dc:description/>
  <cp:lastModifiedBy>Haston, Summer-Rae</cp:lastModifiedBy>
  <cp:revision>2</cp:revision>
  <dcterms:created xsi:type="dcterms:W3CDTF">2019-06-20T20:15:00Z</dcterms:created>
  <dcterms:modified xsi:type="dcterms:W3CDTF">2019-06-20T20:15:00Z</dcterms:modified>
</cp:coreProperties>
</file>